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65"/>
        <w:gridCol w:w="4575"/>
        <w:gridCol w:w="3120"/>
        <w:tblGridChange w:id="0">
          <w:tblGrid>
            <w:gridCol w:w="1665"/>
            <w:gridCol w:w="4575"/>
            <w:gridCol w:w="3120"/>
          </w:tblGrid>
        </w:tblGridChange>
      </w:tblGrid>
      <w:tr>
        <w:trPr>
          <w:trHeight w:val="42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01">
            <w:pPr>
              <w:widowControl w:val="0"/>
              <w:spacing w:line="240" w:lineRule="auto"/>
              <w:contextualSpacing w:val="0"/>
              <w:jc w:val="center"/>
              <w:rPr>
                <w:rFonts w:ascii="Lobster" w:cs="Lobster" w:eastAsia="Lobster" w:hAnsi="Lobster"/>
                <w:sz w:val="36"/>
                <w:szCs w:val="36"/>
              </w:rPr>
            </w:pPr>
            <w:r w:rsidDel="00000000" w:rsidR="00000000" w:rsidRPr="00000000">
              <w:rPr>
                <w:rFonts w:ascii="Lobster" w:cs="Lobster" w:eastAsia="Lobster" w:hAnsi="Lobster"/>
                <w:sz w:val="36"/>
                <w:szCs w:val="36"/>
                <w:rtl w:val="0"/>
              </w:rPr>
              <w:t xml:space="preserve">Week 8: 9/17</w:t>
            </w:r>
          </w:p>
        </w:tc>
        <w:tc>
          <w:tcPr>
            <w:shd w:fill="auto" w:val="clear"/>
            <w:tcMar>
              <w:top w:w="100.0" w:type="dxa"/>
              <w:left w:w="100.0" w:type="dxa"/>
              <w:bottom w:w="100.0" w:type="dxa"/>
              <w:right w:w="100.0" w:type="dxa"/>
            </w:tcMar>
            <w:vAlign w:val="top"/>
          </w:tcPr>
          <w:p w:rsidR="00000000" w:rsidDel="00000000" w:rsidP="00000000" w:rsidRDefault="00000000" w:rsidRPr="00000000" w14:paraId="00000003">
            <w:pPr>
              <w:widowControl w:val="0"/>
              <w:spacing w:line="240" w:lineRule="auto"/>
              <w:contextualSpacing w:val="0"/>
              <w:rPr>
                <w:rFonts w:ascii="Lobster" w:cs="Lobster" w:eastAsia="Lobster" w:hAnsi="Lobster"/>
                <w:sz w:val="36"/>
                <w:szCs w:val="36"/>
              </w:rPr>
            </w:pPr>
            <w:r w:rsidDel="00000000" w:rsidR="00000000" w:rsidRPr="00000000">
              <w:rPr>
                <w:rFonts w:ascii="Lobster" w:cs="Lobster" w:eastAsia="Lobster" w:hAnsi="Lobster"/>
                <w:sz w:val="36"/>
                <w:szCs w:val="36"/>
                <w:rtl w:val="0"/>
              </w:rPr>
              <w:t xml:space="preserve">Homework</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4">
            <w:pPr>
              <w:widowControl w:val="0"/>
              <w:spacing w:line="240" w:lineRule="auto"/>
              <w:contextualSpacing w:val="0"/>
              <w:rPr>
                <w:rFonts w:ascii="Lobster" w:cs="Lobster" w:eastAsia="Lobster" w:hAnsi="Lobster"/>
                <w:sz w:val="30"/>
                <w:szCs w:val="30"/>
              </w:rPr>
            </w:pPr>
            <w:r w:rsidDel="00000000" w:rsidR="00000000" w:rsidRPr="00000000">
              <w:rPr>
                <w:rFonts w:ascii="Lobster" w:cs="Lobster" w:eastAsia="Lobster" w:hAnsi="Lobster"/>
                <w:sz w:val="30"/>
                <w:szCs w:val="30"/>
                <w:rtl w:val="0"/>
              </w:rPr>
              <w:t xml:space="preserve">Monday, 9/17</w:t>
            </w:r>
          </w:p>
        </w:tc>
        <w:tc>
          <w:tcPr>
            <w:shd w:fill="auto" w:val="clear"/>
            <w:tcMar>
              <w:top w:w="100.0" w:type="dxa"/>
              <w:left w:w="100.0" w:type="dxa"/>
              <w:bottom w:w="100.0" w:type="dxa"/>
              <w:right w:w="100.0" w:type="dxa"/>
            </w:tcMar>
            <w:vAlign w:val="top"/>
          </w:tcPr>
          <w:p w:rsidR="00000000" w:rsidDel="00000000" w:rsidP="00000000" w:rsidRDefault="00000000" w:rsidRPr="00000000" w14:paraId="00000005">
            <w:pPr>
              <w:widowControl w:val="0"/>
              <w:numPr>
                <w:ilvl w:val="0"/>
                <w:numId w:val="1"/>
              </w:numPr>
              <w:spacing w:line="240" w:lineRule="auto"/>
              <w:ind w:left="720" w:hanging="360"/>
              <w:rPr/>
            </w:pPr>
            <w:r w:rsidDel="00000000" w:rsidR="00000000" w:rsidRPr="00000000">
              <w:rPr>
                <w:rtl w:val="0"/>
              </w:rPr>
              <w:t xml:space="preserve">Poetry Out Loud Presentations</w:t>
            </w:r>
          </w:p>
          <w:p w:rsidR="00000000" w:rsidDel="00000000" w:rsidP="00000000" w:rsidRDefault="00000000" w:rsidRPr="00000000" w14:paraId="00000006">
            <w:pPr>
              <w:widowControl w:val="0"/>
              <w:numPr>
                <w:ilvl w:val="0"/>
                <w:numId w:val="1"/>
              </w:numPr>
              <w:spacing w:line="240" w:lineRule="auto"/>
              <w:ind w:left="720" w:hanging="360"/>
              <w:rPr/>
            </w:pPr>
            <w:r w:rsidDel="00000000" w:rsidR="00000000" w:rsidRPr="00000000">
              <w:rPr>
                <w:rtl w:val="0"/>
              </w:rPr>
              <w:t xml:space="preserve">You must have:</w:t>
            </w:r>
          </w:p>
          <w:p w:rsidR="00000000" w:rsidDel="00000000" w:rsidP="00000000" w:rsidRDefault="00000000" w:rsidRPr="00000000" w14:paraId="00000007">
            <w:pPr>
              <w:widowControl w:val="0"/>
              <w:numPr>
                <w:ilvl w:val="1"/>
                <w:numId w:val="1"/>
              </w:numPr>
              <w:spacing w:line="240" w:lineRule="auto"/>
              <w:ind w:left="1440" w:hanging="360"/>
              <w:rPr/>
            </w:pPr>
            <w:r w:rsidDel="00000000" w:rsidR="00000000" w:rsidRPr="00000000">
              <w:rPr>
                <w:rtl w:val="0"/>
              </w:rPr>
              <w:t xml:space="preserve">BOTH poems</w:t>
            </w:r>
          </w:p>
          <w:p w:rsidR="00000000" w:rsidDel="00000000" w:rsidP="00000000" w:rsidRDefault="00000000" w:rsidRPr="00000000" w14:paraId="00000008">
            <w:pPr>
              <w:widowControl w:val="0"/>
              <w:numPr>
                <w:ilvl w:val="1"/>
                <w:numId w:val="1"/>
              </w:numPr>
              <w:spacing w:line="240" w:lineRule="auto"/>
              <w:ind w:left="1440" w:hanging="360"/>
              <w:rPr/>
            </w:pPr>
            <w:r w:rsidDel="00000000" w:rsidR="00000000" w:rsidRPr="00000000">
              <w:rPr>
                <w:rtl w:val="0"/>
              </w:rPr>
              <w:t xml:space="preserve">Your TP-CASTT</w:t>
            </w:r>
          </w:p>
          <w:p w:rsidR="00000000" w:rsidDel="00000000" w:rsidP="00000000" w:rsidRDefault="00000000" w:rsidRPr="00000000" w14:paraId="00000009">
            <w:pPr>
              <w:widowControl w:val="0"/>
              <w:numPr>
                <w:ilvl w:val="1"/>
                <w:numId w:val="1"/>
              </w:numPr>
              <w:spacing w:line="240" w:lineRule="auto"/>
              <w:ind w:left="1440" w:hanging="360"/>
              <w:rPr/>
            </w:pPr>
            <w:r w:rsidDel="00000000" w:rsidR="00000000" w:rsidRPr="00000000">
              <w:rPr>
                <w:rtl w:val="0"/>
              </w:rPr>
              <w:t xml:space="preserve">You need to be dressed up</w:t>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widowControl w:val="0"/>
              <w:numPr>
                <w:ilvl w:val="0"/>
                <w:numId w:val="2"/>
              </w:numPr>
              <w:spacing w:line="240" w:lineRule="auto"/>
              <w:ind w:left="720" w:hanging="360"/>
              <w:rPr/>
            </w:pPr>
            <w:r w:rsidDel="00000000" w:rsidR="00000000" w:rsidRPr="00000000">
              <w:rPr>
                <w:rtl w:val="0"/>
              </w:rPr>
              <w:t xml:space="preserve">Red Dots on USA Test Prep for EOC #2</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B">
            <w:pPr>
              <w:widowControl w:val="0"/>
              <w:spacing w:line="240" w:lineRule="auto"/>
              <w:contextualSpacing w:val="0"/>
              <w:rPr>
                <w:rFonts w:ascii="Lobster" w:cs="Lobster" w:eastAsia="Lobster" w:hAnsi="Lobster"/>
                <w:sz w:val="30"/>
                <w:szCs w:val="30"/>
              </w:rPr>
            </w:pPr>
            <w:r w:rsidDel="00000000" w:rsidR="00000000" w:rsidRPr="00000000">
              <w:rPr>
                <w:rFonts w:ascii="Lobster" w:cs="Lobster" w:eastAsia="Lobster" w:hAnsi="Lobster"/>
                <w:sz w:val="30"/>
                <w:szCs w:val="30"/>
                <w:rtl w:val="0"/>
              </w:rPr>
              <w:t xml:space="preserve">Tuesday, 9/18</w:t>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widowControl w:val="0"/>
              <w:numPr>
                <w:ilvl w:val="0"/>
                <w:numId w:val="3"/>
              </w:numPr>
              <w:spacing w:line="240" w:lineRule="auto"/>
              <w:ind w:left="720" w:hanging="360"/>
              <w:rPr/>
            </w:pPr>
            <w:r w:rsidDel="00000000" w:rsidR="00000000" w:rsidRPr="00000000">
              <w:rPr>
                <w:rtl w:val="0"/>
              </w:rPr>
              <w:t xml:space="preserve">SB: p. 97 Review elements of a short story; view plot diagram and discuss elements of narrative writing.</w:t>
            </w:r>
          </w:p>
          <w:p w:rsidR="00000000" w:rsidDel="00000000" w:rsidP="00000000" w:rsidRDefault="00000000" w:rsidRPr="00000000" w14:paraId="0000000D">
            <w:pPr>
              <w:widowControl w:val="0"/>
              <w:numPr>
                <w:ilvl w:val="0"/>
                <w:numId w:val="3"/>
              </w:numPr>
              <w:spacing w:line="240" w:lineRule="auto"/>
              <w:ind w:left="720" w:hanging="360"/>
              <w:rPr/>
            </w:pPr>
            <w:r w:rsidDel="00000000" w:rsidR="00000000" w:rsidRPr="00000000">
              <w:rPr>
                <w:rtl w:val="0"/>
              </w:rPr>
              <w:t xml:space="preserve">SB: p. 99 Determine characteristics of three points of view using The Great Gatsby, The Giver, and Lord of the Flies in #3.</w:t>
            </w:r>
          </w:p>
          <w:p w:rsidR="00000000" w:rsidDel="00000000" w:rsidP="00000000" w:rsidRDefault="00000000" w:rsidRPr="00000000" w14:paraId="0000000E">
            <w:pPr>
              <w:widowControl w:val="0"/>
              <w:numPr>
                <w:ilvl w:val="0"/>
                <w:numId w:val="3"/>
              </w:numPr>
              <w:spacing w:line="240" w:lineRule="auto"/>
              <w:ind w:left="720" w:hanging="360"/>
              <w:rPr/>
            </w:pPr>
            <w:r w:rsidDel="00000000" w:rsidR="00000000" w:rsidRPr="00000000">
              <w:rPr>
                <w:rtl w:val="0"/>
              </w:rPr>
              <w:t xml:space="preserve">SB Activity 2.3 p. 101 Compare writers’ styles—O. Henry and Poe.  Discuss fragments vs. complex sentences.  How are conflict and character crafted by diction and syntax?</w:t>
            </w:r>
          </w:p>
          <w:p w:rsidR="00000000" w:rsidDel="00000000" w:rsidP="00000000" w:rsidRDefault="00000000" w:rsidRPr="00000000" w14:paraId="0000000F">
            <w:pPr>
              <w:widowControl w:val="0"/>
              <w:numPr>
                <w:ilvl w:val="0"/>
                <w:numId w:val="3"/>
              </w:numPr>
              <w:spacing w:line="240" w:lineRule="auto"/>
              <w:ind w:left="720" w:hanging="360"/>
              <w:rPr/>
            </w:pPr>
            <w:r w:rsidDel="00000000" w:rsidR="00000000" w:rsidRPr="00000000">
              <w:rPr>
                <w:rtl w:val="0"/>
              </w:rPr>
              <w:t xml:space="preserve">Read Emulating a Writer’s Style p. 102, and complete the Narrative Writing Prompt.</w:t>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widowControl w:val="0"/>
              <w:numPr>
                <w:ilvl w:val="0"/>
                <w:numId w:val="2"/>
              </w:numPr>
              <w:spacing w:line="240" w:lineRule="auto"/>
              <w:ind w:left="720" w:hanging="360"/>
              <w:rPr/>
            </w:pPr>
            <w:r w:rsidDel="00000000" w:rsidR="00000000" w:rsidRPr="00000000">
              <w:rPr>
                <w:rtl w:val="0"/>
              </w:rPr>
              <w:t xml:space="preserve">Red Dots on USA Test Prep for EOC #2</w:t>
            </w:r>
          </w:p>
          <w:p w:rsidR="00000000" w:rsidDel="00000000" w:rsidP="00000000" w:rsidRDefault="00000000" w:rsidRPr="00000000" w14:paraId="00000011">
            <w:pPr>
              <w:widowControl w:val="0"/>
              <w:numPr>
                <w:ilvl w:val="0"/>
                <w:numId w:val="2"/>
              </w:numPr>
              <w:spacing w:line="240" w:lineRule="auto"/>
              <w:ind w:left="720" w:hanging="360"/>
              <w:rPr/>
            </w:pPr>
            <w:r w:rsidDel="00000000" w:rsidR="00000000" w:rsidRPr="00000000">
              <w:rPr>
                <w:rtl w:val="0"/>
              </w:rPr>
              <w:t xml:space="preserve">Finish classwork if not completed beforehand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2">
            <w:pPr>
              <w:widowControl w:val="0"/>
              <w:spacing w:line="240" w:lineRule="auto"/>
              <w:contextualSpacing w:val="0"/>
              <w:rPr>
                <w:rFonts w:ascii="Lobster" w:cs="Lobster" w:eastAsia="Lobster" w:hAnsi="Lobster"/>
                <w:sz w:val="30"/>
                <w:szCs w:val="30"/>
              </w:rPr>
            </w:pPr>
            <w:r w:rsidDel="00000000" w:rsidR="00000000" w:rsidRPr="00000000">
              <w:rPr>
                <w:rFonts w:ascii="Lobster" w:cs="Lobster" w:eastAsia="Lobster" w:hAnsi="Lobster"/>
                <w:sz w:val="30"/>
                <w:szCs w:val="30"/>
                <w:rtl w:val="0"/>
              </w:rPr>
              <w:t xml:space="preserve">Wednesday, 9/19</w:t>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widowControl w:val="0"/>
              <w:numPr>
                <w:ilvl w:val="0"/>
                <w:numId w:val="4"/>
              </w:numPr>
              <w:spacing w:line="240" w:lineRule="auto"/>
              <w:ind w:left="720" w:hanging="360"/>
              <w:rPr/>
            </w:pPr>
            <w:r w:rsidDel="00000000" w:rsidR="00000000" w:rsidRPr="00000000">
              <w:rPr>
                <w:rtl w:val="0"/>
              </w:rPr>
              <w:t xml:space="preserve">EOC Practice in computer lab</w:t>
            </w:r>
          </w:p>
          <w:p w:rsidR="00000000" w:rsidDel="00000000" w:rsidP="00000000" w:rsidRDefault="00000000" w:rsidRPr="00000000" w14:paraId="00000014">
            <w:pPr>
              <w:widowControl w:val="0"/>
              <w:numPr>
                <w:ilvl w:val="0"/>
                <w:numId w:val="4"/>
              </w:numPr>
              <w:spacing w:line="240" w:lineRule="auto"/>
              <w:ind w:left="720" w:hanging="360"/>
              <w:rPr/>
            </w:pPr>
            <w:r w:rsidDel="00000000" w:rsidR="00000000" w:rsidRPr="00000000">
              <w:rPr>
                <w:rtl w:val="0"/>
              </w:rPr>
              <w:t xml:space="preserve">Conference with Ms. Wynn</w:t>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widowControl w:val="0"/>
              <w:numPr>
                <w:ilvl w:val="0"/>
                <w:numId w:val="2"/>
              </w:numPr>
              <w:spacing w:line="240" w:lineRule="auto"/>
              <w:ind w:left="720" w:hanging="360"/>
              <w:rPr/>
            </w:pPr>
            <w:r w:rsidDel="00000000" w:rsidR="00000000" w:rsidRPr="00000000">
              <w:rPr>
                <w:rtl w:val="0"/>
              </w:rPr>
              <w:t xml:space="preserve">Red Dots on USA Test Prep for EOC #2</w:t>
            </w:r>
          </w:p>
          <w:p w:rsidR="00000000" w:rsidDel="00000000" w:rsidP="00000000" w:rsidRDefault="00000000" w:rsidRPr="00000000" w14:paraId="00000016">
            <w:pPr>
              <w:widowControl w:val="0"/>
              <w:numPr>
                <w:ilvl w:val="0"/>
                <w:numId w:val="2"/>
              </w:numPr>
              <w:spacing w:line="240" w:lineRule="auto"/>
              <w:ind w:left="720" w:hanging="360"/>
              <w:rPr/>
            </w:pPr>
            <w:r w:rsidDel="00000000" w:rsidR="00000000" w:rsidRPr="00000000">
              <w:rPr>
                <w:rtl w:val="0"/>
              </w:rPr>
              <w:t xml:space="preserve">Finish classwork if not completed beforehand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7">
            <w:pPr>
              <w:widowControl w:val="0"/>
              <w:spacing w:line="240" w:lineRule="auto"/>
              <w:contextualSpacing w:val="0"/>
              <w:rPr>
                <w:rFonts w:ascii="Lobster" w:cs="Lobster" w:eastAsia="Lobster" w:hAnsi="Lobster"/>
                <w:sz w:val="30"/>
                <w:szCs w:val="30"/>
              </w:rPr>
            </w:pPr>
            <w:r w:rsidDel="00000000" w:rsidR="00000000" w:rsidRPr="00000000">
              <w:rPr>
                <w:rFonts w:ascii="Lobster" w:cs="Lobster" w:eastAsia="Lobster" w:hAnsi="Lobster"/>
                <w:sz w:val="30"/>
                <w:szCs w:val="30"/>
                <w:rtl w:val="0"/>
              </w:rPr>
              <w:t xml:space="preserve">Thursday, 9/20</w:t>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widowControl w:val="0"/>
              <w:numPr>
                <w:ilvl w:val="0"/>
                <w:numId w:val="5"/>
              </w:numPr>
              <w:pBdr>
                <w:top w:color="auto" w:space="0" w:sz="0" w:val="none"/>
                <w:bottom w:color="auto" w:space="0" w:sz="0" w:val="none"/>
                <w:right w:color="auto" w:space="0" w:sz="0" w:val="none"/>
                <w:between w:color="auto" w:space="0" w:sz="0" w:val="none"/>
              </w:pBdr>
              <w:spacing w:before="120" w:line="240" w:lineRule="auto"/>
              <w:ind w:left="720" w:hanging="360"/>
              <w:rPr>
                <w:sz w:val="24"/>
                <w:szCs w:val="24"/>
              </w:rPr>
            </w:pPr>
            <w:r w:rsidDel="00000000" w:rsidR="00000000" w:rsidRPr="00000000">
              <w:rPr>
                <w:sz w:val="24"/>
                <w:szCs w:val="24"/>
                <w:rtl w:val="0"/>
              </w:rPr>
              <w:t xml:space="preserve">SB 2.5: Introducing Irony: tone, irony, and allusions on p. 106.</w:t>
            </w:r>
          </w:p>
          <w:p w:rsidR="00000000" w:rsidDel="00000000" w:rsidP="00000000" w:rsidRDefault="00000000" w:rsidRPr="00000000" w14:paraId="00000019">
            <w:pPr>
              <w:widowControl w:val="0"/>
              <w:numPr>
                <w:ilvl w:val="0"/>
                <w:numId w:val="5"/>
              </w:numPr>
              <w:pBdr>
                <w:top w:color="auto" w:space="0" w:sz="0" w:val="none"/>
                <w:bottom w:color="auto" w:space="0" w:sz="0" w:val="none"/>
                <w:right w:color="auto" w:space="0" w:sz="0" w:val="none"/>
                <w:between w:color="auto" w:space="0" w:sz="0" w:val="none"/>
              </w:pBdr>
              <w:spacing w:before="120" w:line="240" w:lineRule="auto"/>
              <w:ind w:left="720" w:hanging="360"/>
              <w:rPr>
                <w:sz w:val="24"/>
                <w:szCs w:val="24"/>
              </w:rPr>
            </w:pPr>
            <w:r w:rsidDel="00000000" w:rsidR="00000000" w:rsidRPr="00000000">
              <w:rPr>
                <w:sz w:val="24"/>
                <w:szCs w:val="24"/>
                <w:rtl w:val="0"/>
              </w:rPr>
              <w:t xml:space="preserve">View Ted Ed videos about three types of irony: situational, dramatic, and verbal.</w:t>
            </w:r>
          </w:p>
          <w:p w:rsidR="00000000" w:rsidDel="00000000" w:rsidP="00000000" w:rsidRDefault="00000000" w:rsidRPr="00000000" w14:paraId="0000001A">
            <w:pPr>
              <w:widowControl w:val="0"/>
              <w:numPr>
                <w:ilvl w:val="0"/>
                <w:numId w:val="5"/>
              </w:numPr>
              <w:pBdr>
                <w:top w:color="auto" w:space="0" w:sz="0" w:val="none"/>
                <w:bottom w:color="auto" w:space="0" w:sz="0" w:val="none"/>
                <w:right w:color="auto" w:space="0" w:sz="0" w:val="none"/>
                <w:between w:color="auto" w:space="0" w:sz="0" w:val="none"/>
              </w:pBdr>
              <w:spacing w:before="120" w:line="240" w:lineRule="auto"/>
              <w:ind w:left="720" w:hanging="360"/>
              <w:rPr>
                <w:sz w:val="24"/>
                <w:szCs w:val="24"/>
              </w:rPr>
            </w:pPr>
            <w:r w:rsidDel="00000000" w:rsidR="00000000" w:rsidRPr="00000000">
              <w:rPr>
                <w:sz w:val="24"/>
                <w:szCs w:val="24"/>
                <w:rtl w:val="0"/>
              </w:rPr>
              <w:t xml:space="preserve">DramaticIrony: https://www.youtube.com/watch?v=RZFYuX84n1U</w:t>
              <w:br w:type="textWrapping"/>
              <w:t xml:space="preserve">SituationalIrony: </w:t>
            </w:r>
            <w:hyperlink r:id="rId6">
              <w:r w:rsidDel="00000000" w:rsidR="00000000" w:rsidRPr="00000000">
                <w:rPr>
                  <w:color w:val="1155cc"/>
                  <w:sz w:val="24"/>
                  <w:szCs w:val="24"/>
                  <w:u w:val="single"/>
                  <w:rtl w:val="0"/>
                </w:rPr>
                <w:t xml:space="preserve">https://www.youtube.com/watch?v=tqg6RO8c_W0</w:t>
              </w:r>
            </w:hyperlink>
            <w:r w:rsidDel="00000000" w:rsidR="00000000" w:rsidRPr="00000000">
              <w:rPr>
                <w:rtl w:val="0"/>
              </w:rPr>
            </w:r>
          </w:p>
          <w:p w:rsidR="00000000" w:rsidDel="00000000" w:rsidP="00000000" w:rsidRDefault="00000000" w:rsidRPr="00000000" w14:paraId="0000001B">
            <w:pPr>
              <w:widowControl w:val="0"/>
              <w:numPr>
                <w:ilvl w:val="0"/>
                <w:numId w:val="5"/>
              </w:numPr>
              <w:pBdr>
                <w:top w:color="auto" w:space="0" w:sz="0" w:val="none"/>
                <w:bottom w:color="auto" w:space="0" w:sz="0" w:val="none"/>
                <w:right w:color="auto" w:space="0" w:sz="0" w:val="none"/>
                <w:between w:color="auto" w:space="0" w:sz="0" w:val="none"/>
              </w:pBdr>
              <w:spacing w:before="120" w:line="240" w:lineRule="auto"/>
              <w:ind w:left="720" w:hanging="360"/>
              <w:rPr>
                <w:sz w:val="24"/>
                <w:szCs w:val="24"/>
              </w:rPr>
            </w:pPr>
            <w:r w:rsidDel="00000000" w:rsidR="00000000" w:rsidRPr="00000000">
              <w:rPr>
                <w:sz w:val="24"/>
                <w:szCs w:val="24"/>
                <w:rtl w:val="0"/>
              </w:rPr>
              <w:t xml:space="preserve">VerbalIrony: </w:t>
            </w:r>
            <w:hyperlink r:id="rId7">
              <w:r w:rsidDel="00000000" w:rsidR="00000000" w:rsidRPr="00000000">
                <w:rPr>
                  <w:color w:val="1155cc"/>
                  <w:sz w:val="24"/>
                  <w:szCs w:val="24"/>
                  <w:u w:val="single"/>
                  <w:rtl w:val="0"/>
                </w:rPr>
                <w:t xml:space="preserve">https://www.youtube.com/watch?v=IiR-bnCHIYo</w:t>
              </w:r>
            </w:hyperlink>
            <w:r w:rsidDel="00000000" w:rsidR="00000000" w:rsidRPr="00000000">
              <w:rPr>
                <w:rtl w:val="0"/>
              </w:rPr>
            </w:r>
          </w:p>
          <w:p w:rsidR="00000000" w:rsidDel="00000000" w:rsidP="00000000" w:rsidRDefault="00000000" w:rsidRPr="00000000" w14:paraId="0000001C">
            <w:pPr>
              <w:widowControl w:val="0"/>
              <w:numPr>
                <w:ilvl w:val="0"/>
                <w:numId w:val="5"/>
              </w:numPr>
              <w:pBdr>
                <w:top w:color="auto" w:space="0" w:sz="0" w:val="none"/>
                <w:bottom w:color="auto" w:space="0" w:sz="0" w:val="none"/>
                <w:right w:color="auto" w:space="0" w:sz="0" w:val="none"/>
                <w:between w:color="auto" w:space="0" w:sz="0" w:val="none"/>
              </w:pBdr>
              <w:spacing w:before="120" w:line="240" w:lineRule="auto"/>
              <w:ind w:left="720" w:hanging="360"/>
              <w:rPr>
                <w:sz w:val="24"/>
                <w:szCs w:val="24"/>
              </w:rPr>
            </w:pPr>
            <w:r w:rsidDel="00000000" w:rsidR="00000000" w:rsidRPr="00000000">
              <w:rPr>
                <w:sz w:val="24"/>
                <w:szCs w:val="24"/>
                <w:rtl w:val="0"/>
              </w:rPr>
              <w:t xml:space="preserve">With your table mates, create an example of each type of irony on a large sticky note.</w:t>
            </w:r>
          </w:p>
          <w:p w:rsidR="00000000" w:rsidDel="00000000" w:rsidP="00000000" w:rsidRDefault="00000000" w:rsidRPr="00000000" w14:paraId="0000001D">
            <w:pPr>
              <w:widowControl w:val="0"/>
              <w:numPr>
                <w:ilvl w:val="0"/>
                <w:numId w:val="5"/>
              </w:numPr>
              <w:pBdr>
                <w:top w:color="auto" w:space="0" w:sz="0" w:val="none"/>
                <w:bottom w:color="auto" w:space="0" w:sz="0" w:val="none"/>
                <w:right w:color="auto" w:space="0" w:sz="0" w:val="none"/>
                <w:between w:color="auto" w:space="0" w:sz="0" w:val="none"/>
              </w:pBdr>
              <w:spacing w:before="120" w:line="240" w:lineRule="auto"/>
              <w:ind w:left="720" w:hanging="360"/>
              <w:rPr>
                <w:sz w:val="24"/>
                <w:szCs w:val="24"/>
              </w:rPr>
            </w:pPr>
            <w:r w:rsidDel="00000000" w:rsidR="00000000" w:rsidRPr="00000000">
              <w:rPr>
                <w:sz w:val="24"/>
                <w:szCs w:val="24"/>
                <w:rtl w:val="0"/>
              </w:rPr>
              <w:t xml:space="preserve">Read “The Gift of the Magi” on pp. 107-110.  Answer #7 p. 112. List examples of each type of irony in the story.</w:t>
            </w:r>
          </w:p>
          <w:p w:rsidR="00000000" w:rsidDel="00000000" w:rsidP="00000000" w:rsidRDefault="00000000" w:rsidRPr="00000000" w14:paraId="0000001E">
            <w:pPr>
              <w:widowControl w:val="0"/>
              <w:numPr>
                <w:ilvl w:val="0"/>
                <w:numId w:val="5"/>
              </w:numPr>
              <w:pBdr>
                <w:top w:color="auto" w:space="0" w:sz="0" w:val="none"/>
                <w:bottom w:color="auto" w:space="0" w:sz="0" w:val="none"/>
                <w:right w:color="auto" w:space="0" w:sz="0" w:val="none"/>
                <w:between w:color="auto" w:space="0" w:sz="0" w:val="none"/>
              </w:pBdr>
              <w:spacing w:before="120" w:line="240" w:lineRule="auto"/>
              <w:ind w:left="720" w:hanging="360"/>
              <w:rPr>
                <w:sz w:val="24"/>
                <w:szCs w:val="24"/>
              </w:rPr>
            </w:pPr>
            <w:r w:rsidDel="00000000" w:rsidR="00000000" w:rsidRPr="00000000">
              <w:rPr>
                <w:sz w:val="24"/>
                <w:szCs w:val="24"/>
                <w:rtl w:val="0"/>
              </w:rPr>
              <w:t xml:space="preserve">Complete Working from the Text: SIFT strategy and chart on pp. 112-113.</w:t>
            </w:r>
          </w:p>
          <w:p w:rsidR="00000000" w:rsidDel="00000000" w:rsidP="00000000" w:rsidRDefault="00000000" w:rsidRPr="00000000" w14:paraId="0000001F">
            <w:pPr>
              <w:widowControl w:val="0"/>
              <w:numPr>
                <w:ilvl w:val="0"/>
                <w:numId w:val="5"/>
              </w:numPr>
              <w:pBdr>
                <w:top w:color="auto" w:space="0" w:sz="0" w:val="none"/>
                <w:bottom w:color="auto" w:space="0" w:sz="0" w:val="none"/>
                <w:right w:color="auto" w:space="0" w:sz="0" w:val="none"/>
                <w:between w:color="auto" w:space="0" w:sz="0" w:val="none"/>
              </w:pBdr>
              <w:spacing w:before="120" w:line="240" w:lineRule="auto"/>
              <w:ind w:left="720" w:hanging="360"/>
              <w:rPr>
                <w:sz w:val="24"/>
                <w:szCs w:val="24"/>
              </w:rPr>
            </w:pPr>
            <w:r w:rsidDel="00000000" w:rsidR="00000000" w:rsidRPr="00000000">
              <w:rPr>
                <w:sz w:val="24"/>
                <w:szCs w:val="24"/>
                <w:rtl w:val="0"/>
              </w:rPr>
              <w:t xml:space="preserve">Read Determining Theme on p. 114.</w:t>
            </w:r>
          </w:p>
          <w:p w:rsidR="00000000" w:rsidDel="00000000" w:rsidP="00000000" w:rsidRDefault="00000000" w:rsidRPr="00000000" w14:paraId="00000020">
            <w:pPr>
              <w:widowControl w:val="0"/>
              <w:numPr>
                <w:ilvl w:val="0"/>
                <w:numId w:val="5"/>
              </w:numPr>
              <w:pBdr>
                <w:top w:color="auto" w:space="0" w:sz="0" w:val="none"/>
                <w:bottom w:color="auto" w:space="0" w:sz="0" w:val="none"/>
                <w:right w:color="auto" w:space="0" w:sz="0" w:val="none"/>
                <w:between w:color="auto" w:space="0" w:sz="0" w:val="none"/>
              </w:pBdr>
              <w:spacing w:before="120" w:line="240" w:lineRule="auto"/>
              <w:ind w:left="720" w:hanging="360"/>
              <w:rPr>
                <w:sz w:val="24"/>
                <w:szCs w:val="24"/>
              </w:rPr>
            </w:pPr>
            <w:r w:rsidDel="00000000" w:rsidR="00000000" w:rsidRPr="00000000">
              <w:rPr>
                <w:sz w:val="24"/>
                <w:szCs w:val="24"/>
                <w:rtl w:val="0"/>
              </w:rPr>
              <w:t xml:space="preserve">Complete Check Your Understanding p. 114.  Compare to the SIFT chart Theme p. 113.</w:t>
            </w:r>
          </w:p>
          <w:p w:rsidR="00000000" w:rsidDel="00000000" w:rsidP="00000000" w:rsidRDefault="00000000" w:rsidRPr="00000000" w14:paraId="00000021">
            <w:pPr>
              <w:widowControl w:val="0"/>
              <w:numPr>
                <w:ilvl w:val="0"/>
                <w:numId w:val="5"/>
              </w:numPr>
              <w:pBdr>
                <w:top w:color="auto" w:space="0" w:sz="0" w:val="none"/>
                <w:bottom w:color="auto" w:space="0" w:sz="0" w:val="none"/>
                <w:right w:color="auto" w:space="0" w:sz="0" w:val="none"/>
                <w:between w:color="auto" w:space="0" w:sz="0" w:val="none"/>
              </w:pBdr>
              <w:spacing w:before="120" w:line="240" w:lineRule="auto"/>
              <w:ind w:left="720" w:hanging="360"/>
              <w:rPr>
                <w:sz w:val="24"/>
                <w:szCs w:val="24"/>
              </w:rPr>
            </w:pPr>
            <w:r w:rsidDel="00000000" w:rsidR="00000000" w:rsidRPr="00000000">
              <w:rPr>
                <w:sz w:val="24"/>
                <w:szCs w:val="24"/>
                <w:rtl w:val="0"/>
              </w:rPr>
              <w:t xml:space="preserve">Compose the “unseen scene” from “The Gift of the Magi” as directed in the Narrative Writing Prompt on p. 114.  Add at least one colon, semicolon, and dash to the narrative. See Language Checkpoint pp. 115-116 for help.</w:t>
            </w:r>
          </w:p>
          <w:p w:rsidR="00000000" w:rsidDel="00000000" w:rsidP="00000000" w:rsidRDefault="00000000" w:rsidRPr="00000000" w14:paraId="00000022">
            <w:pPr>
              <w:widowControl w:val="0"/>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widowControl w:val="0"/>
              <w:numPr>
                <w:ilvl w:val="0"/>
                <w:numId w:val="2"/>
              </w:numPr>
              <w:spacing w:line="240" w:lineRule="auto"/>
              <w:ind w:left="720" w:hanging="360"/>
              <w:rPr/>
            </w:pPr>
            <w:r w:rsidDel="00000000" w:rsidR="00000000" w:rsidRPr="00000000">
              <w:rPr>
                <w:rtl w:val="0"/>
              </w:rPr>
              <w:t xml:space="preserve">Red Dots on USA Test Prep for EOC #2</w:t>
            </w:r>
          </w:p>
          <w:p w:rsidR="00000000" w:rsidDel="00000000" w:rsidP="00000000" w:rsidRDefault="00000000" w:rsidRPr="00000000" w14:paraId="00000024">
            <w:pPr>
              <w:widowControl w:val="0"/>
              <w:numPr>
                <w:ilvl w:val="0"/>
                <w:numId w:val="2"/>
              </w:numPr>
              <w:spacing w:line="240" w:lineRule="auto"/>
              <w:ind w:left="720" w:hanging="360"/>
              <w:rPr/>
            </w:pPr>
            <w:r w:rsidDel="00000000" w:rsidR="00000000" w:rsidRPr="00000000">
              <w:rPr>
                <w:rtl w:val="0"/>
              </w:rPr>
              <w:t xml:space="preserve">Finish classwork if not completed beforehand </w:t>
            </w:r>
          </w:p>
          <w:p w:rsidR="00000000" w:rsidDel="00000000" w:rsidP="00000000" w:rsidRDefault="00000000" w:rsidRPr="00000000" w14:paraId="00000025">
            <w:pPr>
              <w:widowControl w:val="0"/>
              <w:spacing w:line="240" w:lineRule="auto"/>
              <w:contextualSpacing w:val="0"/>
              <w:rPr/>
            </w:pPr>
            <w:r w:rsidDel="00000000" w:rsidR="00000000" w:rsidRPr="00000000">
              <w:rPr>
                <w:rtl w:val="0"/>
              </w:rPr>
            </w:r>
          </w:p>
        </w:tc>
      </w:tr>
      <w:tr>
        <w:trPr>
          <w:trHeight w:val="35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26">
            <w:pPr>
              <w:widowControl w:val="0"/>
              <w:spacing w:line="240" w:lineRule="auto"/>
              <w:contextualSpacing w:val="0"/>
              <w:rPr>
                <w:rFonts w:ascii="Lobster" w:cs="Lobster" w:eastAsia="Lobster" w:hAnsi="Lobster"/>
                <w:sz w:val="30"/>
                <w:szCs w:val="30"/>
              </w:rPr>
            </w:pPr>
            <w:r w:rsidDel="00000000" w:rsidR="00000000" w:rsidRPr="00000000">
              <w:rPr>
                <w:rFonts w:ascii="Lobster" w:cs="Lobster" w:eastAsia="Lobster" w:hAnsi="Lobster"/>
                <w:sz w:val="30"/>
                <w:szCs w:val="30"/>
                <w:rtl w:val="0"/>
              </w:rPr>
              <w:t xml:space="preserve">Friday, 9/21</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widowControl w:val="0"/>
              <w:numPr>
                <w:ilvl w:val="0"/>
                <w:numId w:val="2"/>
              </w:numPr>
              <w:spacing w:line="240" w:lineRule="auto"/>
              <w:ind w:left="720" w:hanging="360"/>
              <w:rPr/>
            </w:pPr>
            <w:r w:rsidDel="00000000" w:rsidR="00000000" w:rsidRPr="00000000">
              <w:rPr>
                <w:rtl w:val="0"/>
              </w:rPr>
              <w:t xml:space="preserve">SB 2.6: Close Reading of a Short Story:  foreshadowing on p. 117.</w:t>
            </w:r>
          </w:p>
          <w:p w:rsidR="00000000" w:rsidDel="00000000" w:rsidP="00000000" w:rsidRDefault="00000000" w:rsidRPr="00000000" w14:paraId="00000028">
            <w:pPr>
              <w:widowControl w:val="0"/>
              <w:numPr>
                <w:ilvl w:val="0"/>
                <w:numId w:val="2"/>
              </w:numPr>
              <w:spacing w:line="240" w:lineRule="auto"/>
              <w:ind w:left="720" w:hanging="360"/>
              <w:rPr/>
            </w:pPr>
            <w:r w:rsidDel="00000000" w:rsidR="00000000" w:rsidRPr="00000000">
              <w:rPr>
                <w:rtl w:val="0"/>
              </w:rPr>
              <w:t xml:space="preserve">Read “The Stolen Party” on pp. 118-122.  Answer #3, 7, 8 pp. 122-123.</w:t>
            </w:r>
          </w:p>
          <w:p w:rsidR="00000000" w:rsidDel="00000000" w:rsidP="00000000" w:rsidRDefault="00000000" w:rsidRPr="00000000" w14:paraId="00000029">
            <w:pPr>
              <w:widowControl w:val="0"/>
              <w:numPr>
                <w:ilvl w:val="0"/>
                <w:numId w:val="2"/>
              </w:numPr>
              <w:spacing w:line="240" w:lineRule="auto"/>
              <w:ind w:left="720" w:hanging="360"/>
              <w:rPr/>
            </w:pPr>
            <w:r w:rsidDel="00000000" w:rsidR="00000000" w:rsidRPr="00000000">
              <w:rPr>
                <w:rtl w:val="0"/>
              </w:rPr>
              <w:t xml:space="preserve">Complete Check Your Understanding on p. 125 by writing a theme statement for the story.</w:t>
            </w:r>
          </w:p>
          <w:p w:rsidR="00000000" w:rsidDel="00000000" w:rsidP="00000000" w:rsidRDefault="00000000" w:rsidRPr="00000000" w14:paraId="0000002A">
            <w:pPr>
              <w:widowControl w:val="0"/>
              <w:numPr>
                <w:ilvl w:val="0"/>
                <w:numId w:val="2"/>
              </w:numPr>
              <w:spacing w:line="240" w:lineRule="auto"/>
              <w:ind w:left="720" w:hanging="360"/>
              <w:rPr/>
            </w:pPr>
            <w:r w:rsidDel="00000000" w:rsidR="00000000" w:rsidRPr="00000000">
              <w:rPr>
                <w:rtl w:val="0"/>
              </w:rPr>
              <w:t xml:space="preserve">Compose the narrative writing prompt on p. 125.  Review the bulleted points to set a goal for writing.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widowControl w:val="0"/>
              <w:numPr>
                <w:ilvl w:val="0"/>
                <w:numId w:val="2"/>
              </w:numPr>
              <w:spacing w:line="240" w:lineRule="auto"/>
              <w:ind w:left="720" w:hanging="360"/>
              <w:rPr/>
            </w:pPr>
            <w:r w:rsidDel="00000000" w:rsidR="00000000" w:rsidRPr="00000000">
              <w:rPr>
                <w:rtl w:val="0"/>
              </w:rPr>
              <w:t xml:space="preserve">Red Dots on USA Test Prep for EOC #2</w:t>
            </w:r>
          </w:p>
          <w:p w:rsidR="00000000" w:rsidDel="00000000" w:rsidP="00000000" w:rsidRDefault="00000000" w:rsidRPr="00000000" w14:paraId="0000002C">
            <w:pPr>
              <w:widowControl w:val="0"/>
              <w:numPr>
                <w:ilvl w:val="0"/>
                <w:numId w:val="2"/>
              </w:numPr>
              <w:spacing w:line="240" w:lineRule="auto"/>
              <w:ind w:left="720" w:hanging="360"/>
              <w:rPr/>
            </w:pPr>
            <w:r w:rsidDel="00000000" w:rsidR="00000000" w:rsidRPr="00000000">
              <w:rPr>
                <w:rtl w:val="0"/>
              </w:rPr>
              <w:t xml:space="preserve">Finish classwork if not completed beforehand </w:t>
            </w:r>
          </w:p>
        </w:tc>
      </w:tr>
    </w:tbl>
    <w:p w:rsidR="00000000" w:rsidDel="00000000" w:rsidP="00000000" w:rsidRDefault="00000000" w:rsidRPr="00000000" w14:paraId="0000002D">
      <w:pPr>
        <w:contextualSpacing w:val="0"/>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Lobster">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youtube.com/watch?v=tqg6RO8c_W0" TargetMode="External"/><Relationship Id="rId7" Type="http://schemas.openxmlformats.org/officeDocument/2006/relationships/hyperlink" Target="https://www.youtube.com/watch?v=IiR-bnCHIYo"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Lobster-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